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A11A2">
      <w:pPr>
        <w:jc w:val="center"/>
        <w:rPr>
          <w:rFonts w:hint="eastAsia"/>
          <w:lang w:val="en-US" w:eastAsia="zh-CN"/>
        </w:rPr>
      </w:pPr>
      <w:r>
        <w:rPr>
          <w:rFonts w:hint="eastAsia"/>
          <w:b/>
          <w:bCs/>
          <w:sz w:val="32"/>
          <w:szCs w:val="32"/>
          <w:lang w:val="en-US" w:eastAsia="zh-CN"/>
        </w:rPr>
        <w:t>数字化转型智能研修教室采购需求表</w:t>
      </w:r>
    </w:p>
    <w:p w14:paraId="30CB5B0F">
      <w:pPr>
        <w:rPr>
          <w:rFonts w:hint="eastAsia"/>
          <w:lang w:val="en-US" w:eastAsia="zh-CN"/>
        </w:rPr>
      </w:pP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752"/>
        <w:gridCol w:w="13138"/>
      </w:tblGrid>
      <w:tr w14:paraId="16EC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5D42957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bidi="ar"/>
              </w:rPr>
              <w:t>序号</w:t>
            </w:r>
          </w:p>
        </w:tc>
        <w:tc>
          <w:tcPr>
            <w:tcW w:w="561" w:type="pct"/>
            <w:noWrap w:val="0"/>
            <w:vAlign w:val="center"/>
          </w:tcPr>
          <w:p w14:paraId="75760DEE">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val="en-US" w:eastAsia="zh-CN" w:bidi="ar"/>
              </w:rPr>
              <w:t>设备</w:t>
            </w:r>
            <w:r>
              <w:rPr>
                <w:rFonts w:hint="eastAsia" w:asciiTheme="minorEastAsia" w:hAnsiTheme="minorEastAsia" w:eastAsiaTheme="minorEastAsia" w:cstheme="minorEastAsia"/>
                <w:b/>
                <w:bCs/>
                <w:kern w:val="0"/>
                <w:sz w:val="18"/>
                <w:szCs w:val="18"/>
                <w:lang w:bidi="ar"/>
              </w:rPr>
              <w:t>名称</w:t>
            </w:r>
          </w:p>
        </w:tc>
        <w:tc>
          <w:tcPr>
            <w:tcW w:w="4207" w:type="pct"/>
            <w:noWrap w:val="0"/>
            <w:vAlign w:val="center"/>
          </w:tcPr>
          <w:p w14:paraId="7E7D317E">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val="en-US" w:eastAsia="zh-CN" w:bidi="ar"/>
              </w:rPr>
              <w:t>技术</w:t>
            </w:r>
            <w:r>
              <w:rPr>
                <w:rFonts w:hint="eastAsia" w:asciiTheme="minorEastAsia" w:hAnsiTheme="minorEastAsia" w:eastAsiaTheme="minorEastAsia" w:cstheme="minorEastAsia"/>
                <w:b/>
                <w:bCs/>
                <w:kern w:val="0"/>
                <w:sz w:val="18"/>
                <w:szCs w:val="18"/>
                <w:lang w:bidi="ar"/>
              </w:rPr>
              <w:t>参数</w:t>
            </w:r>
          </w:p>
        </w:tc>
      </w:tr>
      <w:tr w14:paraId="1AFD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6A63F36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1 </w:t>
            </w:r>
          </w:p>
        </w:tc>
        <w:tc>
          <w:tcPr>
            <w:tcW w:w="561" w:type="pct"/>
            <w:noWrap w:val="0"/>
            <w:vAlign w:val="center"/>
          </w:tcPr>
          <w:p w14:paraId="088CFDDA">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AI录播主机</w:t>
            </w:r>
          </w:p>
        </w:tc>
        <w:tc>
          <w:tcPr>
            <w:tcW w:w="4207" w:type="pct"/>
            <w:noWrap w:val="0"/>
            <w:vAlign w:val="center"/>
          </w:tcPr>
          <w:p w14:paraId="37758860">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1、主机技术要求</w:t>
            </w:r>
          </w:p>
          <w:p w14:paraId="1016120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1）主机外观采用壁挂式设计，自带触控模块，无需配合控制面板使用，集录制、直播、互动、管理、存储、视频矩阵及AI课堂分析等功能都集成在一台主机内；</w:t>
            </w:r>
          </w:p>
          <w:p w14:paraId="237AF8E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2）主机能够独立完成音视频采集、音视频编码、音视频处理、直播、录制、互动、远程运维参数设置功能；</w:t>
            </w:r>
          </w:p>
          <w:p w14:paraId="673F6E2A">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▲3）主机机身具备不少于2路SDI输入接口（支持POC供电）、不少于2路HDMI或者DP输入接口；主机机身具备不少于3路HDMI或者DP视频输出接口；支持不低于1080P@30fps视频编码，编码码率支持按需调节；</w:t>
            </w:r>
            <w:bookmarkStart w:id="0" w:name="OLE_LINK2"/>
            <w:bookmarkStart w:id="1" w:name="OLE_LINK1"/>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bookmarkEnd w:id="0"/>
            <w:bookmarkEnd w:id="1"/>
          </w:p>
          <w:p w14:paraId="6FCBD400">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▲4）主机机身具备不少于3路音频输入接口，不少于3路音频输出接口；主机支持主流音频编码格式，包括G711A、G711U、G.722、AAC等，且音频编码码率可自定义配置；</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58233BDA">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5）主机机身具备不少于2路RS-232控制接口，具备不少于</w:t>
            </w:r>
            <w:r>
              <w:rPr>
                <w:rFonts w:hint="eastAsia" w:asciiTheme="minorEastAsia" w:hAnsiTheme="minorEastAsia" w:eastAsiaTheme="minorEastAsia" w:cstheme="minorEastAsia"/>
                <w:sz w:val="18"/>
                <w:szCs w:val="18"/>
              </w:rPr>
              <w:t>1路DC5V或者DC12V的控制面板接口；</w:t>
            </w:r>
            <w:r>
              <w:rPr>
                <w:rFonts w:hint="eastAsia" w:asciiTheme="minorEastAsia" w:hAnsiTheme="minorEastAsia" w:eastAsiaTheme="minorEastAsia" w:cstheme="minorEastAsia"/>
                <w:color w:val="000000"/>
                <w:sz w:val="18"/>
                <w:szCs w:val="18"/>
              </w:rPr>
              <w:t>具备不少于5路10/100/1000Mbps自适应网口（POE接口不少于4路）；主机机身具备不少于2个USB接口，至少包含1个USB3.0接口；</w:t>
            </w:r>
          </w:p>
          <w:p w14:paraId="55D34B7E">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▲6）主机壁挂式机身内嵌液晶触控屏，密码登录后进入控制界面，支持对不少于4路输入的教师全景和特写画面、学生全景和特写画面，以及不少于2路的HDMI（或DP接口）输入的画面进行预览；</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753306EE">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7）支持通过机身内嵌液晶触控屏对不少于4路接入的摄像机进行云台控制；支持通过液晶触控屏控制录制状态、查看录制时长信息、控制主机SDI输入接口的POC供电开关；支持通过触控液晶屏控制AI课堂分析开关；</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4534DB3B">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通过触控液晶屏查看系统软硬件信息、磁盘信息、温度信息、MAC地址信息、网络信息、云台参数、视频录制码率、录制帧率及输入分辨率等信息；支持通过触控液晶屏导出指定时间段的视频文件、修改密码、开关主机等；</w:t>
            </w:r>
          </w:p>
          <w:p w14:paraId="6CB3E4E3">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▲9）主机内置AI分析功能，配备独立的GPU或NPU或BPU处理器，支持上课期间同步进行课程录制、直播及本地化课堂实时分析，可通过主机内嵌液晶触控屏开启或关闭AI课堂分析功能；</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48D0F3A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▲10）主机采用嵌入式处理器设计，内置不少于3颗处理器，处理器总核心数不少于8核，配备不少于1TB硬盘，能够支持本地化课程实时录制、直播以及本地化课堂AI实时分析同时进行，还支持录制课件的本地存储；</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6876304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11）主机支持教学场景下的远程互动功能，可通过遥控器、大屏端安装的控制客户端实现互动场景的切换与控制；</w:t>
            </w:r>
          </w:p>
          <w:p w14:paraId="2ACD5104">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2</w:t>
            </w:r>
            <w:r>
              <w:rPr>
                <w:rFonts w:hint="eastAsia" w:asciiTheme="minorEastAsia" w:hAnsiTheme="minorEastAsia" w:eastAsiaTheme="minorEastAsia" w:cstheme="minorEastAsia"/>
                <w:color w:val="000000"/>
                <w:sz w:val="18"/>
                <w:szCs w:val="18"/>
              </w:rPr>
              <w:t>）主机内置互动录播硬件模块、音频处理硬件模块、存储硬盘和独立的AI硬件分析模块等，AI硬件分析模块支持独立运行，支持实现课堂师生行为分析，支持实时监测AI模块的CPU、内存及硬盘使用率等信息；</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04609536">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3</w:t>
            </w:r>
            <w:r>
              <w:rPr>
                <w:rFonts w:hint="eastAsia" w:asciiTheme="minorEastAsia" w:hAnsiTheme="minorEastAsia" w:eastAsiaTheme="minorEastAsia" w:cstheme="minorEastAsia"/>
                <w:color w:val="000000"/>
                <w:sz w:val="18"/>
                <w:szCs w:val="18"/>
              </w:rPr>
              <w:t>）主机采用分布式分析机制，支持教室端本地化AI实时分析，算力不低于5TOPS；支持DHCP自动获取IP地址,支持VISCA云台控制协议；</w:t>
            </w:r>
          </w:p>
          <w:p w14:paraId="65689A2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4</w:t>
            </w:r>
            <w:r>
              <w:rPr>
                <w:rFonts w:hint="eastAsia" w:asciiTheme="minorEastAsia" w:hAnsiTheme="minorEastAsia" w:eastAsiaTheme="minorEastAsia" w:cstheme="minorEastAsia"/>
                <w:color w:val="000000"/>
                <w:sz w:val="18"/>
                <w:szCs w:val="18"/>
              </w:rPr>
              <w:t>）主机内置AI模块具备自检和实时监控功能，具备双模式运行能力（实时分析和人脸训练），支持远程进行模式切换；</w:t>
            </w:r>
          </w:p>
          <w:p w14:paraId="019877E5">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5</w:t>
            </w:r>
            <w:r>
              <w:rPr>
                <w:rFonts w:hint="eastAsia" w:asciiTheme="minorEastAsia" w:hAnsiTheme="minorEastAsia" w:eastAsiaTheme="minorEastAsia" w:cstheme="minorEastAsia"/>
                <w:color w:val="000000"/>
                <w:sz w:val="18"/>
                <w:szCs w:val="18"/>
              </w:rPr>
              <w:t>）支持Chrome、Firefox、Edge等主流浏览器访问内置AI模块，管理员可远程重启AI分析服务，界面响应时间≤500ms，支持多个并发用户实时查看；</w:t>
            </w:r>
          </w:p>
          <w:p w14:paraId="460D563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6</w:t>
            </w:r>
            <w:r>
              <w:rPr>
                <w:rFonts w:hint="eastAsia" w:asciiTheme="minorEastAsia" w:hAnsiTheme="minorEastAsia" w:eastAsiaTheme="minorEastAsia" w:cstheme="minorEastAsia"/>
                <w:color w:val="000000"/>
                <w:sz w:val="18"/>
                <w:szCs w:val="18"/>
              </w:rPr>
              <w:t>）主机支持自定义AI硬件网络配置，支持设置教师及学生摄像机的IP、视频源分析区域等，提供实时状态监测与智能分析功能，满足教学行为精准识别需求；</w:t>
            </w:r>
          </w:p>
          <w:p w14:paraId="05A62F46">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7</w:t>
            </w:r>
            <w:r>
              <w:rPr>
                <w:rFonts w:hint="eastAsia" w:asciiTheme="minorEastAsia" w:hAnsiTheme="minorEastAsia" w:eastAsiaTheme="minorEastAsia" w:cstheme="minorEastAsia"/>
                <w:color w:val="000000"/>
                <w:sz w:val="18"/>
                <w:szCs w:val="18"/>
              </w:rPr>
              <w:t>）主机支持不少于8种行为分析的自定义显示调控，可监测音量状态与分析时长；支持查看视频分析状态，并生成课堂分析结果；</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174DA84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cstheme="minorEastAsia"/>
                <w:color w:val="000000"/>
                <w:sz w:val="18"/>
                <w:szCs w:val="18"/>
                <w:lang w:val="en-US" w:eastAsia="zh-CN"/>
              </w:rPr>
              <w:t>8</w:t>
            </w:r>
            <w:r>
              <w:rPr>
                <w:rFonts w:hint="eastAsia" w:asciiTheme="minorEastAsia" w:hAnsiTheme="minorEastAsia" w:eastAsiaTheme="minorEastAsia" w:cstheme="minorEastAsia"/>
                <w:color w:val="000000"/>
                <w:sz w:val="18"/>
                <w:szCs w:val="18"/>
              </w:rPr>
              <w:t>）主机支持按需开/关师生头部识别框、开/关课堂行为百分比信息呈现、开/关系统自动框选的学生分析范围，支持以多种颜色进行识别行为的分类标记，支持课堂教学场景VGA画面状态监测；</w:t>
            </w:r>
          </w:p>
          <w:p w14:paraId="7B3C5DB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2、AI分析功能</w:t>
            </w:r>
          </w:p>
          <w:p w14:paraId="3EB2B01D">
            <w:pPr>
              <w:widowControl/>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1）支持根据学科、时间等查询、导出相应教师长期学情分析数据，支持查看各科教师课堂观察分析报告并导出；</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2）支持任选两位教师课例进行同课同构、同课异构、异课异构对比，查看两位教师的课堂实录、教学模式、S-T行为分析、行为一致性、学生参与度、学生活跃度、课堂场景、师生对话时长、学生应答分析、站立学生位置分布、四何问题分布、教师语速及口头禅、巡视特征等多维度的对比数据，支持导出对比报告；</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3）支持在课程页面内呈现AI分析数据，包括课堂场景数据（含知识讲解、师生对话、小组学习、汇报展示及作业练习），师生行为数据（含教师讲授、课件操作教师板书、教师巡视、教师观察、学生读写、学生应答、学生举手、生生互动、学生听讲等），教学活动曲线（含抬头率曲线、参与度曲线、行为一致性曲线、行为活跃度曲线），学生行为（含举手、站立、听讲、读写、背身）时序面积图；支持点击曲线、场景、学生行为时序中任一时间点，均同步显示此刻分析数据，含场景时长、教学活动曲线数值、学生行为人数统计；支持右键放大此刻前后30秒，或对整体的学情时序图按倍率放大最高至8倍；支持导出对应课程全部AI分析数据至Excel文件，并以秒为单位记录数据，所有项单行呈现，总行数与授课时长秒数可完全匹配；</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4）支持在课程页上呈现师生画面，以柱状图显示师生每个行为占用时长，以雷达图呈现≥5类课堂场景下学生课堂参与度、行为一致性、抬头率及行为活跃度情况，以表格呈现参与度、行为一致性、抬头率及行为活跃度的总体占比数据及在各类课堂场景下分别对应的占比数据;支持呈现各类课堂场景出现的总次数，以圆环图或饼状图呈现各类课堂场景数量和占用时长；</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3200413E">
            <w:pPr>
              <w:pStyle w:val="4"/>
              <w:widowControl w:val="0"/>
              <w:jc w:val="both"/>
              <w:rPr>
                <w:rFonts w:hint="eastAsia" w:asciiTheme="minorEastAsia" w:hAnsiTheme="minorEastAsia" w:eastAsiaTheme="minorEastAsia" w:cstheme="minorEastAsia"/>
                <w:color w:val="000000"/>
                <w:sz w:val="18"/>
                <w:szCs w:val="18"/>
                <w:lang w:eastAsia="zh-CN" w:bidi="ar"/>
              </w:rPr>
            </w:pPr>
            <w:r>
              <w:rPr>
                <w:rFonts w:hint="eastAsia" w:asciiTheme="minorEastAsia" w:hAnsiTheme="minorEastAsia" w:eastAsiaTheme="minorEastAsia" w:cstheme="minorEastAsia"/>
                <w:color w:val="000000"/>
                <w:sz w:val="18"/>
                <w:szCs w:val="18"/>
                <w:lang w:eastAsia="zh-CN" w:bidi="ar"/>
              </w:rPr>
              <w:t>5）支持在课程页呈现师生画面，呈现学生应答时长、学生应答类型(含短应答、长应答、师生对话时长(含老师话语、齐答、学生站立应答、学生直接应答)、站立学生位置;支持呈现四何问题和问题列表，呈现课堂文本及高频词;支持呈现教师讲授时长、讲课语速及口头禅、巡视时长、巡视次数、巡视位置分布等</w:t>
            </w:r>
            <w:r>
              <w:rPr>
                <w:rFonts w:hint="eastAsia" w:asciiTheme="minorEastAsia" w:hAnsiTheme="minorEastAsia" w:eastAsiaTheme="minorEastAsia" w:cstheme="minorEastAsia"/>
                <w:b/>
                <w:bCs/>
                <w:color w:val="000000"/>
                <w:sz w:val="18"/>
                <w:szCs w:val="18"/>
                <w:lang w:eastAsia="zh-CN" w:bidi="ar"/>
              </w:rPr>
              <w:t>；</w:t>
            </w:r>
          </w:p>
          <w:p w14:paraId="3A856A6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6）支持从课堂综合分析、教学方法分析、课堂活动分析、师生问题分析等维度给出课堂分析建议，支持导出分析建议及对话记录。</w:t>
            </w:r>
          </w:p>
        </w:tc>
      </w:tr>
      <w:tr w14:paraId="6435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30D4B37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2 </w:t>
            </w:r>
          </w:p>
        </w:tc>
        <w:tc>
          <w:tcPr>
            <w:tcW w:w="561" w:type="pct"/>
            <w:noWrap w:val="0"/>
            <w:vAlign w:val="center"/>
          </w:tcPr>
          <w:p w14:paraId="3ACD6550">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AI录播软件</w:t>
            </w:r>
          </w:p>
        </w:tc>
        <w:tc>
          <w:tcPr>
            <w:tcW w:w="4207" w:type="pct"/>
            <w:noWrap w:val="0"/>
            <w:vAlign w:val="center"/>
          </w:tcPr>
          <w:p w14:paraId="6316EC8D">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1）软件内嵌于AI录播主机中，采用嵌入式操作系统，配合AI录播主机完成实时采集、编码、录制、直播、点播、控制、存储、本地视频回显监控等功能；支持全自动导播、半自动导播、手动导播；</w:t>
            </w:r>
          </w:p>
          <w:p w14:paraId="0F17A669">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2）软件支持通过网络访问浏览器即可进入软件管理界面进行管理配置与操作；支持通过AI录播主机内嵌触控屏针对输入视频本地预览、控制录制启停，控制高清摄像机云台等；</w:t>
            </w:r>
          </w:p>
          <w:p w14:paraId="1B764282">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▲3）软件导播界面具备不少于8个视频窗口，包含不少于6路视频输入源窗口、PVW窗口和PGM窗口，支持多种特效、多种画中画、字幕、台标、片头片尾等功能；</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6085DDC3">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4）支持资源模式、电影模式及混合模式录制，混合模式支持不少于6路输入视频源及电影合成画面的同时录制；</w:t>
            </w:r>
          </w:p>
          <w:p w14:paraId="538DBD0F">
            <w:pPr>
              <w:widowControl/>
              <w:tabs>
                <w:tab w:val="left" w:pos="0"/>
              </w:tabs>
              <w:adjustRightInd w:val="0"/>
              <w:snapToGrid w:val="0"/>
              <w:jc w:val="left"/>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color w:val="000000"/>
                <w:kern w:val="0"/>
                <w:sz w:val="18"/>
                <w:szCs w:val="18"/>
                <w:lang w:bidi="ar"/>
              </w:rPr>
              <w:t>▲5）支持通过浏览器访问系统，支持通过首页概览信息直观查看录像及直播状态、导播模式、录像时长、硬盘空间大小、硬盘使用率、硬盘剩余空间；查看当前视频输入画面启用状态，输入画面有教师全景、学生全景、教师特写、学生特写、教学PC屏幕画面；查看教师全景、学生全景、教师特写、学生特写、教学PC屏幕画面及电影合成画面的视频输入分辨率、录制编码及录制码率、录制帧率、I帧间隔、直播地址信息；查看系统当前日期及时间信息；查看当前系统登录用户信息；</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59E89CBF">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6）▲支持出厂自带多种转场特效和画中画功能，预设特效不少于23种，预设画中画数量不少于16种画中画布局；(提供由具备检测资质的第三方检测机构出具的检测报告复印件并加盖供应商公章)</w:t>
            </w:r>
          </w:p>
          <w:p w14:paraId="65017006">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7）转场特效须具备左-&gt;右、右-&gt;左、上-&gt;下、下-&gt;上、左上-&gt;右下、左下-&gt;右上、右上-&gt;左下、右下-&gt;左上、中间-&gt;左右扩展、中间-&gt;上下扩展、中间-&gt;四周扩展、渐变等；</w:t>
            </w:r>
          </w:p>
          <w:p w14:paraId="1A9EAD65">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8）▲画中画功能须支持通过本地导播及网页导播界面进行画中画设置；支持出厂自带单分屏、大小两分屏、左右等分屏、平铺、三分屏、四分屏、五分屏、六分屏等；</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381A38C0">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9）支持针对接入的高清摄像机通过键盘、鼠标控制摄像机云台旋转、镜头变倍/聚焦/光圈，摄像机光圈和聚焦设置提供手动和自动设置按钮；具备不少于4种摄像机固定位变焦；</w:t>
            </w:r>
          </w:p>
          <w:p w14:paraId="49EBA72B">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10）支持多种视频信号采集方式，包括有线、网络、私有协议、RTMP视频采集，支持针对任意1路视频信号设置信号源开/关、去抖缓存数值、对比度、画面锐利度、空域亮度、时域亮度、空域色度、时域色度像机固定位变焦；</w:t>
            </w:r>
          </w:p>
          <w:p w14:paraId="186EFEBE">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11）支持通过AI录播主机内嵌触控屏对主机SDI接口的POC供电开关进行控制；支持同时向不少于3个平台开启直播功能。</w:t>
            </w:r>
          </w:p>
        </w:tc>
      </w:tr>
      <w:tr w14:paraId="2B5A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397323BD">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3 </w:t>
            </w:r>
          </w:p>
        </w:tc>
        <w:tc>
          <w:tcPr>
            <w:tcW w:w="561" w:type="pct"/>
            <w:noWrap w:val="0"/>
            <w:vAlign w:val="center"/>
          </w:tcPr>
          <w:p w14:paraId="52193136">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智能跟踪软件</w:t>
            </w:r>
          </w:p>
        </w:tc>
        <w:tc>
          <w:tcPr>
            <w:tcW w:w="4207" w:type="pct"/>
            <w:noWrap w:val="0"/>
            <w:vAlign w:val="center"/>
          </w:tcPr>
          <w:p w14:paraId="1FA1CD8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1、支持通过本期项目的AI录播主机、高清摄像机实现教师自动跟踪，学生智能定位；</w:t>
            </w:r>
          </w:p>
          <w:p w14:paraId="444B8F9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2、教师走动时切换教师全景、站立时切换教师特写；学生站立时切换学生全景，再切换学生特写，学生坐下后切回教师画面。</w:t>
            </w:r>
          </w:p>
        </w:tc>
      </w:tr>
      <w:tr w14:paraId="6E36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06CD62F">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4 </w:t>
            </w:r>
          </w:p>
        </w:tc>
        <w:tc>
          <w:tcPr>
            <w:tcW w:w="561" w:type="pct"/>
            <w:noWrap w:val="0"/>
            <w:vAlign w:val="center"/>
          </w:tcPr>
          <w:p w14:paraId="1E8154BD">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教师高清摄像机</w:t>
            </w:r>
          </w:p>
        </w:tc>
        <w:tc>
          <w:tcPr>
            <w:tcW w:w="4207" w:type="pct"/>
            <w:noWrap w:val="0"/>
            <w:vAlign w:val="center"/>
          </w:tcPr>
          <w:p w14:paraId="2DC91082">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1）视频输出：≥1路3G-SDI接口；音频接口：≥1路凤凰端子输入；网络接口：≥1路RJ45；控制接口：≥1路RS485；</w:t>
            </w:r>
          </w:p>
          <w:p w14:paraId="64ACA17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2）传感器尺寸≥1/2.8英寸,有效像素≥846万，镜头最大视角不小于40°。支持4K图像编码输出，同时向下兼容1080p，720p等分辨率；支持自动对焦；</w:t>
            </w:r>
          </w:p>
          <w:p w14:paraId="70CB34B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3）支持网口音视频编码输出，支持H.265/H.264/MJPEG视频编码标准；网络视频编码码率不小于16384Kbps；</w:t>
            </w:r>
          </w:p>
          <w:p w14:paraId="27EF65E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4）支持EPTZ功能，至少支持8倍数字变焦；</w:t>
            </w:r>
          </w:p>
          <w:p w14:paraId="4E28A3B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5）支持LINEIN外接音频输入，可与视频同步编码后网络输出。支持音频AAC、G711A等编码标准，网络音频编码码率不小于128Kbps；</w:t>
            </w:r>
          </w:p>
          <w:p w14:paraId="1CBE5C48">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6）同时具有2D和3D降噪算法，降低图像噪声，图像信噪比≥55dB；</w:t>
            </w:r>
          </w:p>
          <w:p w14:paraId="7CF8551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7）支持POC和POE一线通功能，电源、视频、音频、控制三线合一；</w:t>
            </w:r>
          </w:p>
          <w:p w14:paraId="07610CF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8）支持SDI接口同时输出全景和特写信号；</w:t>
            </w:r>
          </w:p>
          <w:p w14:paraId="16FAFD6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9）内置跟踪定位算法，无需任何辅助定位或跟踪即可实现平滑自然的定位跟踪效果；</w:t>
            </w:r>
          </w:p>
          <w:p w14:paraId="6DD36F9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10）支持自定义跟踪灵敏度，匹配不同身高的跟踪目标，实现对教师不同身高进行准确的跟踪识别。</w:t>
            </w:r>
          </w:p>
        </w:tc>
      </w:tr>
      <w:tr w14:paraId="4D22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4DCDBE1">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561" w:type="pct"/>
            <w:noWrap w:val="0"/>
            <w:vAlign w:val="center"/>
          </w:tcPr>
          <w:p w14:paraId="4FEEC1AF">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学生高清摄像机</w:t>
            </w:r>
          </w:p>
        </w:tc>
        <w:tc>
          <w:tcPr>
            <w:tcW w:w="4207" w:type="pct"/>
            <w:noWrap w:val="0"/>
            <w:vAlign w:val="center"/>
          </w:tcPr>
          <w:p w14:paraId="77F05B9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1）视频输出：≥1路3G-SDI接口；音频接口：≥1路凤凰端子输入；网络接口：≥1路RJ45；控制接口：≥1路RS485；</w:t>
            </w:r>
          </w:p>
          <w:p w14:paraId="2B8F862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2）传感器尺寸≥1/2.8英寸,有效像素≥846万，镜头最大视角不小于40°。支持4K图像编码输出，同时向下兼容1080p，720p等分辨率；支持自动对焦；</w:t>
            </w:r>
          </w:p>
          <w:p w14:paraId="14704D2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3）支持网口音视频编码输出，支持H.265/H.264/MJPEG视频编码标准；网络视频编码码率不小于16384Kbps；</w:t>
            </w:r>
          </w:p>
          <w:p w14:paraId="24BA0A58">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4）支持EPTZ功能，至少支持8倍数字变焦；</w:t>
            </w:r>
          </w:p>
          <w:p w14:paraId="29D62FE0">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5）支持LINEIN外接音频输入，可与视频同步编码后网络输出。支持音频AAC、G711A等编码标准，网络音频编码码率不小于128Kbps；</w:t>
            </w:r>
          </w:p>
          <w:p w14:paraId="41700889">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6）同时具有2D和3D降噪算法，降低图像噪声，图像信噪比≥55dB；</w:t>
            </w:r>
          </w:p>
          <w:p w14:paraId="3729549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7）支持POC和POE一线通功能，电源、视频、音频、控制三线合一；</w:t>
            </w:r>
          </w:p>
          <w:p w14:paraId="4A8D422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8）支持SDI接口同时输出全景和特写信号；</w:t>
            </w:r>
          </w:p>
          <w:p w14:paraId="31F205F2">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9）内置跟踪定位算法，无需任何辅助定位或跟踪即可实现平滑自然的定位跟踪效果；</w:t>
            </w:r>
          </w:p>
          <w:p w14:paraId="11E1E1A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10）支持自定义跟踪灵敏度，匹配不同身高的跟踪目标，实现对中小学生和高中生不同身高进行准确的跟踪识别。</w:t>
            </w:r>
          </w:p>
        </w:tc>
      </w:tr>
      <w:tr w14:paraId="7BD7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A63665A">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6 </w:t>
            </w:r>
          </w:p>
        </w:tc>
        <w:tc>
          <w:tcPr>
            <w:tcW w:w="561" w:type="pct"/>
            <w:noWrap w:val="0"/>
            <w:vAlign w:val="center"/>
          </w:tcPr>
          <w:p w14:paraId="0C1DA714">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摄像机管理软件</w:t>
            </w:r>
          </w:p>
        </w:tc>
        <w:tc>
          <w:tcPr>
            <w:tcW w:w="4207" w:type="pct"/>
            <w:noWrap w:val="0"/>
            <w:vAlign w:val="center"/>
          </w:tcPr>
          <w:p w14:paraId="6F850F3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1）支持控制摄像机电子云台上、下、左、右转动，镜头推近、拉远；支持设置摄像机预置位、查看摄像机视频画面，一键恢复预置位；</w:t>
            </w:r>
          </w:p>
          <w:p w14:paraId="011C40C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2）支持摄像机视频选项配置，含视频制式、编码等级；第一及第二码流编码协议、分辨率、码率、帧率、帧间隔、码率控制、码率波动等；</w:t>
            </w:r>
          </w:p>
          <w:p w14:paraId="6DD26C1A">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3）支持摄像机画面亮度、饱和度、对比度、锐度、色度调节，设置画面上下及左右翻转；支持配置摄像机工作模式、重启控制，及摄像机管理软件登录用户名及密码。</w:t>
            </w:r>
          </w:p>
          <w:p w14:paraId="7B5E818A">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4）支持开启/关闭鉴权功能、开启</w:t>
            </w:r>
            <w:bookmarkStart w:id="2" w:name="_GoBack"/>
            <w:bookmarkEnd w:id="2"/>
            <w:r>
              <w:rPr>
                <w:rFonts w:hint="eastAsia" w:asciiTheme="minorEastAsia" w:hAnsiTheme="minorEastAsia" w:eastAsiaTheme="minorEastAsia" w:cstheme="minorEastAsia"/>
                <w:color w:val="000000"/>
                <w:kern w:val="0"/>
                <w:sz w:val="18"/>
                <w:szCs w:val="18"/>
                <w:lang w:bidi="ar"/>
              </w:rPr>
              <w:t>/关闭ONVIF协议，控制鉴权功能开关；</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5）支持开启/关闭组播功能，配置端口和地址。</w:t>
            </w:r>
          </w:p>
        </w:tc>
      </w:tr>
      <w:tr w14:paraId="3CFA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5C544FC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7 </w:t>
            </w:r>
          </w:p>
        </w:tc>
        <w:tc>
          <w:tcPr>
            <w:tcW w:w="561" w:type="pct"/>
            <w:noWrap w:val="0"/>
            <w:vAlign w:val="center"/>
          </w:tcPr>
          <w:p w14:paraId="76A3655E">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阵列拾音麦</w:t>
            </w:r>
          </w:p>
        </w:tc>
        <w:tc>
          <w:tcPr>
            <w:tcW w:w="4207" w:type="pct"/>
            <w:noWrap w:val="0"/>
            <w:vAlign w:val="center"/>
          </w:tcPr>
          <w:p w14:paraId="46EA3CC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1）麦克风内部集成≥7个拾音麦，拾音距离≥8米；</w:t>
            </w:r>
          </w:p>
          <w:p w14:paraId="65AAE669">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2）内置音频处理模块，支持自动增益控制，混响及啸叫抑制、回声消除等；</w:t>
            </w:r>
          </w:p>
          <w:p w14:paraId="3C958E52">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3）麦克风具备2路音频输出接口，具备支持UAC协议即插即用的USB接口。</w:t>
            </w:r>
          </w:p>
        </w:tc>
      </w:tr>
      <w:tr w14:paraId="0613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4BEB59C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8 </w:t>
            </w:r>
          </w:p>
        </w:tc>
        <w:tc>
          <w:tcPr>
            <w:tcW w:w="561" w:type="pct"/>
            <w:noWrap w:val="0"/>
            <w:vAlign w:val="center"/>
          </w:tcPr>
          <w:p w14:paraId="6B5100BF">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音箱</w:t>
            </w:r>
          </w:p>
        </w:tc>
        <w:tc>
          <w:tcPr>
            <w:tcW w:w="4207" w:type="pct"/>
            <w:noWrap w:val="0"/>
            <w:vAlign w:val="center"/>
          </w:tcPr>
          <w:p w14:paraId="22D3918B">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一、音箱</w:t>
            </w:r>
          </w:p>
          <w:p w14:paraId="2FCEE233">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1）采用木质加厚箱体，前面板使用金属冲孔防护网，开孔细密，保证声音顺畅透出；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2）内置≥1个5.5英寸全频扬声器，采用单全频方案设计；</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3）支持100V～260V宽范围交流输入，内部带有电源干扰抑制功能；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4）内置双通道数字功放模块，输出功率≥2×30W（4Ω）；</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5）具有≥2组立体声RCA音频输入接口，支持独立音量调节；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6）▲音箱有源板需带削波故障提示灯，功放削波时亮起；（提供产品功能截图并加盖投标人公章）；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7）具有≥1路6.35mm麦克风输入接口，可接有线话筒；</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8）具有≥1路Type-A无线话筒扩展接口，可为外接无线接收模块提供DC 5V供电；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9）具有≥1路RJ45接口、≥1组立体声RCA线路输出接口，支持与其它扩声设备、录音设备或后级系统连接，实现音频信号联动输出；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10）支持选配定压输入强切模块，接入优先级信号后可自动切入播放。</w:t>
            </w:r>
          </w:p>
          <w:p w14:paraId="42769808">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二、麦克风</w:t>
            </w:r>
          </w:p>
          <w:p w14:paraId="475365BC">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1）采用UHF超高频无线传输，≥150个可用频道自由切换，支持任意话筒与接收机自由配对，开阔空间传输距离≥50米；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2）集成NFC近场感应对频，话筒靠近接收机瞬间完成绑定，无需手动调频；</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3）内置≥600mAh锂聚合物电池，正常使用续航≥6小时；</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4）▲内置CAPO功能，开启此功能后，充电时自动关机；（投标文件中需提供CAPO充电自动关机功能（可通过设置菜单打开或关闭）软件功能界面截图)</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5）▲支持ECO节能模式，开启 ECO 节能模式后，系统自动降低空闲功耗，进一步延长待机时间，（投标文件中需提供ECO功能（可通过设置菜单打开或关闭）软件功能界面截图）</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6）信噪比≥89dB，采样率64KHz；</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7）▲具备≥0.42寸OLED显示屏，可显示当前工作频道、对频状态、电量状态及信号强度等运行信息，具备≥1路3.5mm输入接口、≥1个滑轮按钮；（提供产品实物图片并加盖投标人公章）；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8）支持将当前设备的所有参数配置一键复制到其他设备，多台设备批量部署时无需逐台手动调试；</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9）话筒内置PPT翻页功能，演讲者手持话筒即可直接切换幻灯片，无需额外配备翻页笔；</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10）支持一发多收扩展能力，单只话筒可同步连接多台接收机；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11）支持领夹、手持、头戴外接、胸前悬挂四种佩戴方式，背夹采用磁吸设计，整机重量≤35g；</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12）支持独立设置频率锁定和最大音量锁定，现场使用过程中有效防止误触导致参数变动；</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13）内置AGC功能，可实时监测输入信号，根据说话音量自动调节增益，将输出稳定维持在85～90dB的合适范围，避免音量忽大忽小影响听感，无需频繁手动干预；</w:t>
            </w:r>
          </w:p>
          <w:p w14:paraId="3C450AE0">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三、接收器</w:t>
            </w:r>
          </w:p>
          <w:p w14:paraId="343EDE10">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1）采用UHF无线接收方式，频段规划可有效避开主流移动通信频率；</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2）频率响应范围支持20Hz～20KHz，支持模拟音频输出与数字音频输出两种工作模式；</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3）▲具备≥1路3.5mm音频输出接口，≥1路USB输出接口，支持按需设置为“供电+模拟音频输出”模式或标准USB音频输出模式，免驱安装，即插即用；（提供产品实物接口图片并加盖投标人公章）；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4）▲采用≥0.42寸OLED显示屏，实时显示当前工作频道、对频状态、电量状态及信号强度等运行信息；（提供产品功能截图并加盖投标人公章）；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5）▲具备≥2个接收频道按键，支持常用频道快速调用与切换；（提供产品实物接口图片并加盖投标人公章）；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6）接收器内置PPT翻页接收模块，采用免驱设计，适配主流翻页控制设备；</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7）采用Type-C接口供电，支持适配器、移动电源及常规USB供电设备接入。</w:t>
            </w:r>
          </w:p>
          <w:p w14:paraId="1D70DCB7">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四、NFC卡片</w:t>
            </w:r>
          </w:p>
          <w:p w14:paraId="377AF9D1">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1）内置射频识别单元和数据存储模块，快速完成信息交换，单次识别响应时间短，支持高频次重复操作；</w:t>
            </w:r>
          </w:p>
          <w:p w14:paraId="5086D637">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2）设备中心位置为感应识别区域，发射端贴近后即可自动完成配对确认，成功后可通过提示音直接确认结果，同时支持接收端与麦克风之间双向配对操作；</w:t>
            </w:r>
          </w:p>
          <w:p w14:paraId="001684BE">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3）采用无源工作方式，无需单独供电，依靠配套设备感应激活即可运行；</w:t>
            </w:r>
          </w:p>
          <w:p w14:paraId="443B4C20">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4）支持安装于黑板边框、讲台侧面、桌面立板或设备面板等位置，外采用耐磨处理；</w:t>
            </w:r>
          </w:p>
          <w:p w14:paraId="33CA3BD3">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5）针对教学场景下高频率配对需求进行设计，贴近即可识别，成功即可提示。</w:t>
            </w:r>
          </w:p>
        </w:tc>
      </w:tr>
      <w:tr w14:paraId="12B7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0CE1D856">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561" w:type="pct"/>
            <w:noWrap w:val="0"/>
            <w:vAlign w:val="center"/>
          </w:tcPr>
          <w:p w14:paraId="6F6B67D2">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bidi="ar"/>
              </w:rPr>
              <w:t>录播助手</w:t>
            </w:r>
          </w:p>
        </w:tc>
        <w:tc>
          <w:tcPr>
            <w:tcW w:w="4207" w:type="pct"/>
            <w:noWrap w:val="0"/>
            <w:vAlign w:val="center"/>
          </w:tcPr>
          <w:p w14:paraId="18DF333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1）支持安装于教学大屏或者智慧黑板OPS模块，能够检测本教室AI录播主机或者AI分析主机的录播及AI分析就绪状态；</w:t>
            </w:r>
          </w:p>
          <w:p w14:paraId="16011AF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2）支持临时上课、预约课表两类场景应用，支持按需勾选同步创建直播课堂，支持自动启动AI课堂教学分析；</w:t>
            </w:r>
          </w:p>
          <w:p w14:paraId="567032C8">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3）支持游客身份使用“临时上课”功能操控教室端AI录播主机或者AI分析主机进行录像及创建直播课；支持手动填写教师信息、搜索选定教师信息，支持填写课程名称、班级、学段、学科、年级等信息；</w:t>
            </w:r>
          </w:p>
          <w:p w14:paraId="70E17466">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支持查看“我的预约”，显示登录用户通过平台在当前教室预约的今日课表，支持对预约课表进行全流程操作干预，涵盖开始录像、重新录像、结束录像、延后开始、延后结束、取消上课等功能，操作对录像、直播、AI课堂分析服务同步生效；</w:t>
            </w:r>
          </w:p>
          <w:p w14:paraId="2A5010B1">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支持点击“开始录像”、“重新录像”后，自动收起客户端，在桌面右下角显示录制中的悬浮窗；支持结束录像时弹出确认弹窗，确认后结束录像并自动弹出客户端窗口，录制视频自动回传至平台；支持延后结束功能，可自定义选择延后时长；</w:t>
            </w:r>
          </w:p>
          <w:p w14:paraId="07D52435">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6）支持点击“重新录像”后，原录制视频不再回传，预约课表时间作废，需人工控制结束录像，平台会先发送结束命令再发送新开始命令；</w:t>
            </w:r>
          </w:p>
          <w:p w14:paraId="0A4956CA">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7）支持手工任务优先级高于课表预约任务，新创建的手工录像任务可强制终止未结束的原有任务；手工任务挤占预约课时，自动通过平台向对应教师推送系统消息；</w:t>
            </w:r>
          </w:p>
          <w:p w14:paraId="6ABA3353">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8）支持录像启停、重新录制、取消课表、任务冲突等场景均配置标准化确认弹窗；支持取消预约上课任务时，系统自动留存操作日志。</w:t>
            </w:r>
          </w:p>
        </w:tc>
      </w:tr>
    </w:tbl>
    <w:p w14:paraId="5AB00C74">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8273FA"/>
    <w:rsid w:val="3B8273FA"/>
    <w:rsid w:val="4DE41E5A"/>
    <w:rsid w:val="4EAD68C0"/>
    <w:rsid w:val="70E40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7072</Words>
  <Characters>7566</Characters>
  <Lines>0</Lines>
  <Paragraphs>0</Paragraphs>
  <TotalTime>112</TotalTime>
  <ScaleCrop>false</ScaleCrop>
  <LinksUpToDate>false</LinksUpToDate>
  <CharactersWithSpaces>7577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2026-09-05T11:16:00Z</dcterms:created>
  <dc:creator>.</dc:creator>
  <cp:lastModifiedBy>user</cp:lastModifiedBy>
  <dcterms:modified xsi:type="dcterms:W3CDTF">2026-09-08T12:47:20Z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721D45E7C9B849CAB7C96AE9E9669A41_13</vt:lpwstr>
  </property>
  <property fmtid="{D5CDD505-2E9C-101B-9397-08002B2CF9AE}" pid="4" name="KSOTemplateDocerSaveRecord">
    <vt:lpwstr>eyJoZGlkIjoiMTljYTJlNDkyOWUxMTBmNzhjNzg0NTdmYTkyMTc2NDAiLCJ1c2VySWQiOiIxMjMyOTg4NDM0In0=</vt:lpwstr>
  </property>
</Properties>
</file>